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11C1C" w:rsidP="212359FD" w:rsidRDefault="00211C1C" w14:paraId="09502162" w14:textId="77777777">
      <w:pPr>
        <w:jc w:val="center"/>
        <w:rPr>
          <w:rFonts w:ascii="Lato" w:hAnsi="Lato"/>
          <w:b w:val="1"/>
          <w:bCs w:val="1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¿Has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pensado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hacer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un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detox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digital? No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eres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tú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, es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economía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atención</w:t>
      </w:r>
    </w:p>
    <w:p w:rsidRPr="00211C1C" w:rsidR="000A5475" w:rsidP="212359FD" w:rsidRDefault="00E916EA" w14:paraId="71C920D0" w14:textId="71F47AB5" w14:noSpellErr="1">
      <w:pPr>
        <w:jc w:val="center"/>
        <w:rPr>
          <w:rFonts w:ascii="Lato" w:hAnsi="Lato"/>
          <w:b w:val="1"/>
          <w:bCs w:val="1"/>
          <w:noProof w:val="0"/>
          <w:sz w:val="22"/>
          <w:szCs w:val="22"/>
          <w:lang w:val="es-MX"/>
        </w:rPr>
      </w:pPr>
      <w:r w:rsidR="00E916EA">
        <w:drawing>
          <wp:inline wp14:editId="4975701F" wp14:anchorId="4B1460B9">
            <wp:extent cx="4585157" cy="3056771"/>
            <wp:effectExtent l="0" t="0" r="0" b="4445"/>
            <wp:docPr id="149804091" name="Picture 2" descr="A person with tattoos on their hands&#10;&#10;AI-generated content may be incorrect.">
              <a:hlinkClick r:id="rId7"/>
            </wp:docPr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9804091" name="Picture 2" descr="A person with tattoos on their hands&#10;&#10;AI-generated content may be incorrect.">
                      <a:hlinkClick xmlns:r="http://schemas.openxmlformats.org/officeDocument/2006/relationships" r:id="rId7"/>
                    </pic:cNvPr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146" cy="30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0739" w:rsidR="00211C1C" w:rsidP="212359FD" w:rsidRDefault="00211C1C" w14:paraId="621D507E" w14:textId="3D78CBBD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¿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Últimamente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has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sentido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necesidad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dejar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celular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silenciar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notificaciones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cerrar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tus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redes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sociales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un fin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semana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?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Probablemente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, 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solo. Cada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vez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personas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buscan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desconectarse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y no es solo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moda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pasajera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respuesta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algo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profundo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: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economía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atención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.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</w:p>
    <w:p w:rsidR="00110451" w:rsidP="212359FD" w:rsidRDefault="00211C1C" w14:paraId="56984483" w14:textId="77777777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¿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Qué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es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economía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atención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y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qué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importa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?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</w:p>
    <w:p w:rsidRPr="00211C1C" w:rsidR="00211C1C" w:rsidP="212359FD" w:rsidRDefault="00211C1C" w14:paraId="6380FEC2" w14:textId="5573CD4F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Este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concepto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refiere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entorno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marcas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compiten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un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recurso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finito: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nuestro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tiempo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Pero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frente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ruido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constante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muchos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consumidores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están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optando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lo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contrario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: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reducir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su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exposición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digital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Este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fenómeno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conocido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i w:val="1"/>
          <w:iCs w:val="1"/>
          <w:noProof w:val="0"/>
          <w:sz w:val="22"/>
          <w:szCs w:val="22"/>
          <w:lang w:val="es-MX"/>
        </w:rPr>
        <w:t>digital detox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desintoxicación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digital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reacción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humana a 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saturación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</w:p>
    <w:p w:rsidRPr="00211C1C" w:rsidR="00211C1C" w:rsidP="212359FD" w:rsidRDefault="00211C1C" w14:paraId="13A8430D" w14:textId="5B3A8BEA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Una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investigación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iStock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principal sitio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fotografías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y videos de stock,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reveló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93% de la población global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utiliza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algún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tipo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tecnología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Al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preguntarle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 las personas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sus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principales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preocupaciones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torno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su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relación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con lo digital,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respuestas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fueron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claras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: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le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temen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al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robo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información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, a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dependencia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excesiva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y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tiempo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prolongado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frente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a las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pantallas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.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En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otras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palabras, la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s personas no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sólo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creen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la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tecnología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facilita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también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fatiga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</w:p>
    <w:p w:rsidRPr="00211C1C" w:rsidR="00211C1C" w:rsidP="212359FD" w:rsidRDefault="00211C1C" w14:paraId="0889B753" w14:textId="374821AF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Esta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realidad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no solo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impacta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 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as personas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también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representa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un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llamado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atención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para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empresas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especialmente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a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PyMes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compiten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cada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día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un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espacio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limitado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(y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tiempo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) de sus audiencias.</w:t>
      </w:r>
    </w:p>
    <w:p w:rsidRPr="00211C1C" w:rsidR="00211C1C" w:rsidP="212359FD" w:rsidRDefault="00211C1C" w14:paraId="264A91D1" w14:textId="77777777">
      <w:pPr>
        <w:jc w:val="both"/>
        <w:rPr>
          <w:rFonts w:ascii="Lato" w:hAnsi="Lato"/>
          <w:b w:val="1"/>
          <w:bCs w:val="1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¿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Confías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lo que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ves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internet?</w:t>
      </w:r>
    </w:p>
    <w:p w:rsidRPr="00490739" w:rsidR="00C81502" w:rsidP="212359FD" w:rsidRDefault="00211C1C" w14:paraId="2FB3518A" w14:textId="51D98AC9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Según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estudio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iStock,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respaldado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su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plataforma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investigación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VisualGPS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6 de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cada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10 personas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desconfían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los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anuncios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que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ven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.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¿El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motivo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?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Sospechan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lo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ha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manipulado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generado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IA 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simplemente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falso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contraste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las personas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responden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mejor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contenido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les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permita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respirar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pausar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reconectar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con lo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esencial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hecho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43% dice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usa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redes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sociales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simplemente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porque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entretenido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Para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marcas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no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implica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desaparecer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pantallas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presentes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otra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manera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</w:p>
    <w:p w:rsidRPr="00211C1C" w:rsidR="00211C1C" w:rsidP="212359FD" w:rsidRDefault="00C81502" w14:paraId="78498A12" w14:textId="334FE52B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investigación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apunta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las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imágenes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y videos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efectivos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hoy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día son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muestran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cuidado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cliente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transparencia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contenido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centrado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su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día a día, no solo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vender.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Además,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52% de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los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consumidores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prefiere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videos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cortos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y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38% se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inclina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fotografías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conecten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emocionalmente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En la era del </w:t>
      </w:r>
      <w:r w:rsidRPr="212359FD" w:rsidR="3D3CB1D2">
        <w:rPr>
          <w:rFonts w:ascii="Lato" w:hAnsi="Lato"/>
          <w:i w:val="1"/>
          <w:iCs w:val="1"/>
          <w:noProof w:val="0"/>
          <w:sz w:val="22"/>
          <w:szCs w:val="22"/>
          <w:lang w:val="es-MX"/>
        </w:rPr>
        <w:t>digital detox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reglas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del juego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han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cambiado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: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menos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ruido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significado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</w:p>
    <w:p w:rsidRPr="00211C1C" w:rsidR="00211C1C" w:rsidP="212359FD" w:rsidRDefault="00211C1C" w14:paraId="3842BB0B" w14:textId="77777777">
      <w:pPr>
        <w:jc w:val="both"/>
        <w:rPr>
          <w:rFonts w:ascii="Lato" w:hAnsi="Lato"/>
          <w:b w:val="1"/>
          <w:bCs w:val="1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¿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Qué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tipo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contenido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visual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sí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nos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llama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atención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?</w:t>
      </w:r>
    </w:p>
    <w:p w:rsidRPr="00211C1C" w:rsidR="00211C1C" w:rsidP="212359FD" w:rsidRDefault="00211C1C" w14:paraId="730E5B0D" w14:textId="1E40BDD6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Mientras las generaciones mayores crecieron con menos distracciones digitales, las más jóvenes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nativas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digitale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no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conocen un mundo sin pantallas. No sorprende que la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ansiedad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sea el principal sentimiento asociado a su relación con la tecnología, según datos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VisualGPS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</w:p>
    <w:p w:rsidRPr="00211C1C" w:rsidR="00211C1C" w:rsidP="212359FD" w:rsidRDefault="00211C1C" w14:paraId="08C7FB8F" w14:textId="2F601847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En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respuesta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muchos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jóvenes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están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optando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alternativas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 simples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i w:val="1"/>
          <w:iCs w:val="1"/>
          <w:noProof w:val="0"/>
          <w:sz w:val="22"/>
          <w:szCs w:val="22"/>
          <w:lang w:val="es-MX"/>
        </w:rPr>
        <w:t>dumb phones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teléfonos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básicos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  <w:hyperlink r:id="R62b631f804194ccb">
        <w:r w:rsidRPr="212359FD" w:rsidR="3D3CB1D2">
          <w:rPr>
            <w:rStyle w:val="Hyperlink"/>
            <w:rFonts w:ascii="Lato" w:hAnsi="Lato"/>
            <w:noProof w:val="0"/>
            <w:sz w:val="22"/>
            <w:szCs w:val="22"/>
            <w:lang w:val="es-MX"/>
          </w:rPr>
          <w:t>El regreso del icónico Nokia 3210</w:t>
        </w:r>
      </w:hyperlink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no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sólo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es nostalgia: 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forma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reducir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tiempo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pantalla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escapar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bombardeo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constante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Incluso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marcas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b w:val="1"/>
          <w:bCs w:val="1"/>
          <w:noProof w:val="0"/>
          <w:sz w:val="22"/>
          <w:szCs w:val="22"/>
          <w:lang w:val="es-MX"/>
        </w:rPr>
        <w:t xml:space="preserve">Heineken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han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respondido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tendencia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con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lanzamiento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Style w:val="Hyperlink"/>
          <w:rFonts w:ascii="Lato" w:hAnsi="Lato"/>
          <w:noProof w:val="0"/>
          <w:sz w:val="22"/>
          <w:szCs w:val="22"/>
          <w:lang w:val="es-MX"/>
        </w:rPr>
        <w:t>“</w:t>
      </w:r>
      <w:r w:rsidRPr="212359FD" w:rsidR="3D3CB1D2">
        <w:rPr>
          <w:rStyle w:val="Hyperlink"/>
          <w:rFonts w:ascii="Lato" w:hAnsi="Lato"/>
          <w:b w:val="1"/>
          <w:bCs w:val="1"/>
          <w:noProof w:val="0"/>
          <w:sz w:val="22"/>
          <w:szCs w:val="22"/>
          <w:lang w:val="es-MX"/>
        </w:rPr>
        <w:t>The Boring Phone</w:t>
      </w:r>
      <w:r w:rsidRPr="212359FD" w:rsidR="3D3CB1D2">
        <w:rPr>
          <w:rStyle w:val="Hyperlink"/>
          <w:rFonts w:ascii="Lato" w:hAnsi="Lato"/>
          <w:noProof w:val="0"/>
          <w:sz w:val="22"/>
          <w:szCs w:val="22"/>
          <w:lang w:val="es-MX"/>
        </w:rPr>
        <w:t>”,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un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dispositivo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limitado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promueve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desconexión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</w:p>
    <w:p w:rsidRPr="00211C1C" w:rsidR="00211C1C" w:rsidP="212359FD" w:rsidRDefault="00490739" w14:paraId="4DA73D6E" w14:textId="0A86EBE1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Según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expertos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iStock, las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marcas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quieren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conectar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con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diferentes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generaciones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pueden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usar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estilos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visuales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simples 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minimalistas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Para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mostrar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experiencias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“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desconectadas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”,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buena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idea usar videos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resalten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lo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divertido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dispositivos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retro.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Puedes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aprovechar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potencial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formato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video para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lograr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tu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audiencia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sientan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inmers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forma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sútil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lugar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visualmente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abrumad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 Los videos con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movimientos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cámara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lentos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estáticos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iluminación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suave y paletas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colores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tenues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pueden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ofrecer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una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experiencia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visual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más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terapéutica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poderosa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para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generar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conexión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emocional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duradera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</w:p>
    <w:p w:rsidRPr="00211C1C" w:rsidR="00211C1C" w:rsidP="212359FD" w:rsidRDefault="00211C1C" w14:paraId="43C364E5" w14:textId="55F44992">
      <w:pPr>
        <w:jc w:val="both"/>
        <w:rPr>
          <w:rFonts w:ascii="Lato" w:hAnsi="Lato"/>
          <w:noProof w:val="0"/>
          <w:sz w:val="22"/>
          <w:szCs w:val="22"/>
          <w:lang w:val="es-MX"/>
        </w:rPr>
      </w:pP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economía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la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atención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no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trata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solo de marketing,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se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trata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cómo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queremos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vivir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interactuar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consumir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 L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os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negocios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que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comprendan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este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cambio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sin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importar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su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tamaño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,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podrán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dejar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competir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por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segundos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de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atención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... y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empezar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a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construir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conexiones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 xml:space="preserve"> 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reales</w:t>
      </w:r>
      <w:r w:rsidRPr="212359FD" w:rsidR="3D3CB1D2">
        <w:rPr>
          <w:rFonts w:ascii="Lato" w:hAnsi="Lato"/>
          <w:noProof w:val="0"/>
          <w:sz w:val="22"/>
          <w:szCs w:val="22"/>
          <w:lang w:val="es-MX"/>
        </w:rPr>
        <w:t>.</w:t>
      </w:r>
    </w:p>
    <w:p w:rsidR="0001528B" w:rsidP="212359FD" w:rsidRDefault="0001528B" w14:paraId="7D213797" w14:textId="77777777" w14:noSpellErr="1">
      <w:pPr>
        <w:rPr>
          <w:noProof w:val="0"/>
          <w:lang w:val="es-MX"/>
        </w:rPr>
      </w:pPr>
    </w:p>
    <w:sectPr w:rsidR="0001528B">
      <w:head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9A9" w:rsidP="003E71F1" w:rsidRDefault="006B29A9" w14:paraId="232E2732" w14:textId="77777777">
      <w:pPr>
        <w:spacing w:after="0" w:line="240" w:lineRule="auto"/>
      </w:pPr>
      <w:r>
        <w:separator/>
      </w:r>
    </w:p>
  </w:endnote>
  <w:endnote w:type="continuationSeparator" w:id="0">
    <w:p w:rsidR="006B29A9" w:rsidP="003E71F1" w:rsidRDefault="006B29A9" w14:paraId="40663C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9A9" w:rsidP="003E71F1" w:rsidRDefault="006B29A9" w14:paraId="78B039B1" w14:textId="77777777">
      <w:pPr>
        <w:spacing w:after="0" w:line="240" w:lineRule="auto"/>
      </w:pPr>
      <w:r>
        <w:separator/>
      </w:r>
    </w:p>
  </w:footnote>
  <w:footnote w:type="continuationSeparator" w:id="0">
    <w:p w:rsidR="006B29A9" w:rsidP="003E71F1" w:rsidRDefault="006B29A9" w14:paraId="38F15F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71F1" w:rsidP="00202961" w:rsidRDefault="00202961" w14:paraId="2B3EC9F6" w14:textId="3A163B07">
    <w:pPr>
      <w:pStyle w:val="Header"/>
      <w:jc w:val="center"/>
    </w:pPr>
    <w:r>
      <w:rPr>
        <w:noProof/>
      </w:rPr>
      <w:drawing>
        <wp:inline distT="0" distB="0" distL="0" distR="0" wp14:anchorId="01E35C6E" wp14:editId="65B95BE9">
          <wp:extent cx="1243354" cy="717048"/>
          <wp:effectExtent l="0" t="0" r="1270" b="0"/>
          <wp:docPr id="89622951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229515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372" cy="72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60086"/>
    <w:multiLevelType w:val="multilevel"/>
    <w:tmpl w:val="982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0799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8B"/>
    <w:rsid w:val="0001528B"/>
    <w:rsid w:val="000A5475"/>
    <w:rsid w:val="00110451"/>
    <w:rsid w:val="00202961"/>
    <w:rsid w:val="00211C1C"/>
    <w:rsid w:val="00383022"/>
    <w:rsid w:val="003E71F1"/>
    <w:rsid w:val="00490739"/>
    <w:rsid w:val="00557B66"/>
    <w:rsid w:val="006B29A9"/>
    <w:rsid w:val="0099409E"/>
    <w:rsid w:val="00A003B0"/>
    <w:rsid w:val="00C42A03"/>
    <w:rsid w:val="00C81502"/>
    <w:rsid w:val="00E916EA"/>
    <w:rsid w:val="00F015B3"/>
    <w:rsid w:val="00F02A1E"/>
    <w:rsid w:val="00FC2362"/>
    <w:rsid w:val="212359FD"/>
    <w:rsid w:val="3D3C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45AD3"/>
  <w15:chartTrackingRefBased/>
  <w15:docId w15:val="{F299EC01-EBF0-6F48-B715-FCD69023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28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28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528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1528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528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528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528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528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528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528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5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28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528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5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28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5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28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5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2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03B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3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71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71F1"/>
  </w:style>
  <w:style w:type="paragraph" w:styleId="Footer">
    <w:name w:val="footer"/>
    <w:basedOn w:val="Normal"/>
    <w:link w:val="FooterChar"/>
    <w:uiPriority w:val="99"/>
    <w:unhideWhenUsed/>
    <w:rsid w:val="003E71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istockphoto.com/es/foto/rendy-hipster-using-retro-tech-phone-in-city-retro-tech-meets-modern-style-gm2217982179-634545639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www.hmd.com/es_lta/nokia-3210?sku=1GF025KPA2L01" TargetMode="External" Id="R62b631f804194c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9a1aaa00f7ea2f3b2f2c1fb26696bd5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a2f032be1069355ce68ae491e732f1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1FD4F8-7501-4392-A3C6-1BBB07493A7A}"/>
</file>

<file path=customXml/itemProps2.xml><?xml version="1.0" encoding="utf-8"?>
<ds:datastoreItem xmlns:ds="http://schemas.openxmlformats.org/officeDocument/2006/customXml" ds:itemID="{024A29D4-DC5B-43AB-850E-142CA2C674C6}"/>
</file>

<file path=customXml/itemProps3.xml><?xml version="1.0" encoding="utf-8"?>
<ds:datastoreItem xmlns:ds="http://schemas.openxmlformats.org/officeDocument/2006/customXml" ds:itemID="{AC994586-DDDB-41E7-8198-0015BF3C3C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Noguez</dc:creator>
  <cp:keywords/>
  <dc:description/>
  <cp:lastModifiedBy>Rodrigo Plata</cp:lastModifiedBy>
  <cp:revision>11</cp:revision>
  <dcterms:created xsi:type="dcterms:W3CDTF">2025-07-10T17:29:00Z</dcterms:created>
  <dcterms:modified xsi:type="dcterms:W3CDTF">2025-08-06T14:17:51Z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